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AB" w:rsidRPr="00A35DAB" w:rsidRDefault="00A35DAB" w:rsidP="00A35DAB">
      <w:pPr>
        <w:spacing w:before="100" w:beforeAutospacing="1" w:after="100" w:afterAutospacing="1"/>
        <w:jc w:val="center"/>
        <w:outlineLvl w:val="1"/>
        <w:rPr>
          <w:rFonts w:ascii="Times" w:eastAsia="Times New Roman" w:hAnsi="Times" w:cs="Times New Roman"/>
          <w:b/>
          <w:bCs/>
          <w:sz w:val="36"/>
          <w:szCs w:val="36"/>
        </w:rPr>
      </w:pPr>
      <w:bookmarkStart w:id="0" w:name="_GoBack"/>
      <w:r>
        <w:rPr>
          <w:rFonts w:ascii="Times" w:eastAsia="Times New Roman" w:hAnsi="Times" w:cs="Times New Roman"/>
          <w:b/>
          <w:bCs/>
          <w:sz w:val="36"/>
          <w:szCs w:val="36"/>
        </w:rPr>
        <w:t>The Migrant Experience</w:t>
      </w:r>
    </w:p>
    <w:bookmarkEnd w:id="0"/>
    <w:p w:rsidR="00A35DAB" w:rsidRPr="00A35DAB" w:rsidRDefault="00A35DAB" w:rsidP="00A35DAB">
      <w:pPr>
        <w:spacing w:before="100" w:beforeAutospacing="1" w:after="100" w:afterAutospacing="1"/>
        <w:rPr>
          <w:rFonts w:ascii="Times" w:hAnsi="Times" w:cs="Times New Roman"/>
          <w:sz w:val="20"/>
          <w:szCs w:val="20"/>
        </w:rPr>
      </w:pPr>
      <w:r w:rsidRPr="00A35DAB">
        <w:rPr>
          <w:rFonts w:ascii="Times" w:hAnsi="Times" w:cs="Times New Roman"/>
          <w:sz w:val="20"/>
          <w:szCs w:val="20"/>
        </w:rPr>
        <w:t xml:space="preserve">A complex set of interacting forces both economic and ecological brought the migrant workers documented in this </w:t>
      </w:r>
      <w:hyperlink r:id="rId5" w:history="1">
        <w:r w:rsidRPr="00A35DAB">
          <w:rPr>
            <w:rFonts w:ascii="Times" w:hAnsi="Times" w:cs="Times New Roman"/>
            <w:color w:val="0000FF"/>
            <w:sz w:val="20"/>
            <w:szCs w:val="20"/>
            <w:u w:val="single"/>
          </w:rPr>
          <w:t>ethnographic collection</w:t>
        </w:r>
      </w:hyperlink>
      <w:r w:rsidRPr="00A35DAB">
        <w:rPr>
          <w:rFonts w:ascii="Times" w:hAnsi="Times" w:cs="Times New Roman"/>
          <w:sz w:val="20"/>
          <w:szCs w:val="20"/>
        </w:rPr>
        <w:t xml:space="preserve"> to California. Following World War I, a recession led to a drop in the market price of farm crops and caused Great Plains farmers to increase their productivity through mechanization and the cultivation of more land. This increase in farming activity required an increase in spending that caused many farmers to become financially overextended. The stock market crash in 1929 only served to exacerbate this already tenuous economic situation. Many independent farmers lost their farms when banks came to collect on their notes, while tenant farmers were turned out when economic pressure was brought to bear on large landholders. The attempts of these displaced agricultural workers to find other work were met with frustration due to a 30 percent unemployment rate.</w:t>
      </w:r>
    </w:p>
    <w:tbl>
      <w:tblPr>
        <w:tblpPr w:leftFromText="60" w:rightFromText="60" w:vertAnchor="text" w:tblpXSpec="right" w:tblpYSpec="center"/>
        <w:tblW w:w="1250" w:type="pct"/>
        <w:tblCellSpacing w:w="15" w:type="dxa"/>
        <w:tblCellMar>
          <w:top w:w="200" w:type="dxa"/>
          <w:left w:w="200" w:type="dxa"/>
          <w:bottom w:w="200" w:type="dxa"/>
          <w:right w:w="200" w:type="dxa"/>
        </w:tblCellMar>
        <w:tblLook w:val="04A0" w:firstRow="1" w:lastRow="0" w:firstColumn="1" w:lastColumn="0" w:noHBand="0" w:noVBand="1"/>
      </w:tblPr>
      <w:tblGrid>
        <w:gridCol w:w="5420"/>
      </w:tblGrid>
      <w:tr w:rsidR="00A35DAB" w:rsidRPr="00A35DAB" w:rsidTr="00A35DAB">
        <w:trPr>
          <w:tblCellSpacing w:w="15" w:type="dxa"/>
        </w:trPr>
        <w:tc>
          <w:tcPr>
            <w:tcW w:w="0" w:type="auto"/>
            <w:vAlign w:val="center"/>
            <w:hideMark/>
          </w:tcPr>
          <w:p w:rsidR="00A35DAB" w:rsidRPr="00A35DAB" w:rsidRDefault="00A35DAB" w:rsidP="00A35DAB">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3136900" cy="2540000"/>
                  <wp:effectExtent l="0" t="0" r="12700" b="0"/>
                  <wp:docPr id="1" name="Picture 1" descr="odd recording Frank and Myra Pipkin&#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d recording Frank and Myra Pipkin&#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6900" cy="2540000"/>
                          </a:xfrm>
                          <a:prstGeom prst="rect">
                            <a:avLst/>
                          </a:prstGeom>
                          <a:noFill/>
                          <a:ln>
                            <a:noFill/>
                          </a:ln>
                        </pic:spPr>
                      </pic:pic>
                    </a:graphicData>
                  </a:graphic>
                </wp:inline>
              </w:drawing>
            </w:r>
            <w:r w:rsidRPr="00A35DAB">
              <w:rPr>
                <w:rFonts w:ascii="Times" w:eastAsia="Times New Roman" w:hAnsi="Times" w:cs="Times New Roman"/>
                <w:sz w:val="20"/>
                <w:szCs w:val="20"/>
              </w:rPr>
              <w:br/>
            </w:r>
            <w:r w:rsidRPr="00A35DAB">
              <w:rPr>
                <w:rFonts w:ascii="Times" w:eastAsia="Times New Roman" w:hAnsi="Times" w:cs="Times New Roman"/>
                <w:b/>
                <w:bCs/>
                <w:sz w:val="20"/>
                <w:szCs w:val="20"/>
              </w:rPr>
              <w:t xml:space="preserve">Frank and Myra </w:t>
            </w:r>
            <w:proofErr w:type="spellStart"/>
            <w:r w:rsidRPr="00A35DAB">
              <w:rPr>
                <w:rFonts w:ascii="Times" w:eastAsia="Times New Roman" w:hAnsi="Times" w:cs="Times New Roman"/>
                <w:b/>
                <w:bCs/>
                <w:sz w:val="20"/>
                <w:szCs w:val="20"/>
              </w:rPr>
              <w:t>Pipkin</w:t>
            </w:r>
            <w:proofErr w:type="spellEnd"/>
            <w:r w:rsidRPr="00A35DAB">
              <w:rPr>
                <w:rFonts w:ascii="Times" w:eastAsia="Times New Roman" w:hAnsi="Times" w:cs="Times New Roman"/>
                <w:b/>
                <w:bCs/>
                <w:sz w:val="20"/>
                <w:szCs w:val="20"/>
              </w:rPr>
              <w:t xml:space="preserve"> being recorded by Charles L. Todd at Shafter FSA Camp, Shafter, California, 1941.</w:t>
            </w:r>
            <w:r w:rsidRPr="00A35DAB">
              <w:rPr>
                <w:rFonts w:ascii="Times" w:eastAsia="Times New Roman" w:hAnsi="Times" w:cs="Times New Roman"/>
                <w:sz w:val="20"/>
                <w:szCs w:val="20"/>
              </w:rPr>
              <w:t xml:space="preserve"> Photo by Robert </w:t>
            </w:r>
            <w:proofErr w:type="spellStart"/>
            <w:r w:rsidRPr="00A35DAB">
              <w:rPr>
                <w:rFonts w:ascii="Times" w:eastAsia="Times New Roman" w:hAnsi="Times" w:cs="Times New Roman"/>
                <w:sz w:val="20"/>
                <w:szCs w:val="20"/>
              </w:rPr>
              <w:t>Hemmig</w:t>
            </w:r>
            <w:proofErr w:type="spellEnd"/>
            <w:r w:rsidRPr="00A35DAB">
              <w:rPr>
                <w:rFonts w:ascii="Times" w:eastAsia="Times New Roman" w:hAnsi="Times" w:cs="Times New Roman"/>
                <w:sz w:val="20"/>
                <w:szCs w:val="20"/>
              </w:rPr>
              <w:t>.</w:t>
            </w:r>
          </w:p>
        </w:tc>
      </w:tr>
    </w:tbl>
    <w:p w:rsidR="00A35DAB" w:rsidRPr="00A35DAB" w:rsidRDefault="00A35DAB" w:rsidP="00A35DAB">
      <w:pPr>
        <w:spacing w:before="100" w:beforeAutospacing="1" w:after="100" w:afterAutospacing="1"/>
        <w:rPr>
          <w:rFonts w:ascii="Times" w:hAnsi="Times" w:cs="Times New Roman"/>
          <w:sz w:val="20"/>
          <w:szCs w:val="20"/>
        </w:rPr>
      </w:pPr>
      <w:r w:rsidRPr="00A35DAB">
        <w:rPr>
          <w:rFonts w:ascii="Times" w:hAnsi="Times" w:cs="Times New Roman"/>
          <w:sz w:val="20"/>
          <w:szCs w:val="20"/>
        </w:rPr>
        <w:t xml:space="preserve">At the same time, the increase in farming activity placed greater strain on the land. As the naturally occurring grasslands of the southern Great Plains were replaced with cultivated fields, the rich soil lost its ability to retain moisture and nutrients and began to erode. Soil conservation practices were not widely employed by farmers during this era, so when a seven-year drought began in 1931, followed by the coming of dust storms in 1932, many of the farms literally dried up and blew away creating what became known as the "Dust Bowl." Driven by the Great Depression, drought, and dust storms, thousands of farmers packed up their families and made the difficult journey to California where they hoped to find work. Along with their meager belongings, the Dust Bowl refugees brought with them their inherited cultural expressions. It is this heritage that </w:t>
      </w:r>
      <w:hyperlink r:id="rId8" w:history="1">
        <w:r w:rsidRPr="00A35DAB">
          <w:rPr>
            <w:rFonts w:ascii="Times" w:hAnsi="Times" w:cs="Times New Roman"/>
            <w:color w:val="0000FF"/>
            <w:sz w:val="20"/>
            <w:szCs w:val="20"/>
            <w:u w:val="single"/>
          </w:rPr>
          <w:t>Charles L. Todd</w:t>
        </w:r>
      </w:hyperlink>
      <w:r w:rsidRPr="00A35DAB">
        <w:rPr>
          <w:rFonts w:ascii="Times" w:hAnsi="Times" w:cs="Times New Roman"/>
          <w:sz w:val="20"/>
          <w:szCs w:val="20"/>
        </w:rPr>
        <w:t xml:space="preserve"> and </w:t>
      </w:r>
      <w:hyperlink r:id="rId9" w:history="1">
        <w:r w:rsidRPr="00A35DAB">
          <w:rPr>
            <w:rFonts w:ascii="Times" w:hAnsi="Times" w:cs="Times New Roman"/>
            <w:color w:val="0000FF"/>
            <w:sz w:val="20"/>
            <w:szCs w:val="20"/>
            <w:u w:val="single"/>
          </w:rPr>
          <w:t xml:space="preserve">Robert </w:t>
        </w:r>
        <w:proofErr w:type="spellStart"/>
        <w:r w:rsidRPr="00A35DAB">
          <w:rPr>
            <w:rFonts w:ascii="Times" w:hAnsi="Times" w:cs="Times New Roman"/>
            <w:color w:val="0000FF"/>
            <w:sz w:val="20"/>
            <w:szCs w:val="20"/>
            <w:u w:val="single"/>
          </w:rPr>
          <w:t>Sonkin</w:t>
        </w:r>
        <w:proofErr w:type="spellEnd"/>
      </w:hyperlink>
      <w:r w:rsidRPr="00A35DAB">
        <w:rPr>
          <w:rFonts w:ascii="Times" w:hAnsi="Times" w:cs="Times New Roman"/>
          <w:sz w:val="20"/>
          <w:szCs w:val="20"/>
        </w:rPr>
        <w:t xml:space="preserve"> captured on their documentation </w:t>
      </w:r>
      <w:hyperlink r:id="rId10" w:history="1">
        <w:r w:rsidRPr="00A35DAB">
          <w:rPr>
            <w:rFonts w:ascii="Times" w:hAnsi="Times" w:cs="Times New Roman"/>
            <w:color w:val="0000FF"/>
            <w:sz w:val="20"/>
            <w:szCs w:val="20"/>
            <w:u w:val="single"/>
          </w:rPr>
          <w:t>expedition</w:t>
        </w:r>
      </w:hyperlink>
      <w:r w:rsidRPr="00A35DAB">
        <w:rPr>
          <w:rFonts w:ascii="Times" w:hAnsi="Times" w:cs="Times New Roman"/>
          <w:sz w:val="20"/>
          <w:szCs w:val="20"/>
        </w:rPr>
        <w:t xml:space="preserve"> to migrant work camps and other sites throughout California. </w:t>
      </w:r>
    </w:p>
    <w:p w:rsidR="00A35DAB" w:rsidRDefault="00A35DAB" w:rsidP="00A35DAB">
      <w:pPr>
        <w:spacing w:before="100" w:beforeAutospacing="1" w:after="100" w:afterAutospacing="1"/>
        <w:rPr>
          <w:rFonts w:ascii="Times" w:hAnsi="Times" w:cs="Times New Roman"/>
          <w:sz w:val="20"/>
          <w:szCs w:val="20"/>
        </w:rPr>
      </w:pPr>
      <w:r w:rsidRPr="00A35DAB">
        <w:rPr>
          <w:rFonts w:ascii="Times" w:hAnsi="Times" w:cs="Times New Roman"/>
          <w:sz w:val="20"/>
          <w:szCs w:val="20"/>
        </w:rPr>
        <w:t>Why did so many of the refugees pin their hopes for a better life on California? One reason was that the state's mild climate allowed for a long growing season and a diversity of crops with staggered planting and harvesting cycles. For people whose lives had revolved around farming, this seemed like an ideal place to look for work. Popular songs and stories, circulating in oral tradition for decades (for more on this topic see "</w:t>
      </w:r>
      <w:hyperlink r:id="rId11" w:history="1">
        <w:r w:rsidRPr="00A35DAB">
          <w:rPr>
            <w:rFonts w:ascii="Times" w:hAnsi="Times" w:cs="Times New Roman"/>
            <w:color w:val="0000FF"/>
            <w:sz w:val="20"/>
            <w:szCs w:val="20"/>
            <w:u w:val="single"/>
          </w:rPr>
          <w:t>The Recording of Folk Music in Northern California</w:t>
        </w:r>
      </w:hyperlink>
      <w:r w:rsidRPr="00A35DAB">
        <w:rPr>
          <w:rFonts w:ascii="Times" w:hAnsi="Times" w:cs="Times New Roman"/>
          <w:sz w:val="20"/>
          <w:szCs w:val="20"/>
        </w:rPr>
        <w:t xml:space="preserve">" by Sidney Robertson </w:t>
      </w:r>
      <w:proofErr w:type="spellStart"/>
      <w:r w:rsidRPr="00A35DAB">
        <w:rPr>
          <w:rFonts w:ascii="Times" w:hAnsi="Times" w:cs="Times New Roman"/>
          <w:sz w:val="20"/>
          <w:szCs w:val="20"/>
        </w:rPr>
        <w:t>Cowell</w:t>
      </w:r>
      <w:proofErr w:type="spellEnd"/>
      <w:r w:rsidRPr="00A35DAB">
        <w:rPr>
          <w:rFonts w:ascii="Times" w:hAnsi="Times" w:cs="Times New Roman"/>
          <w:sz w:val="20"/>
          <w:szCs w:val="20"/>
        </w:rPr>
        <w:t xml:space="preserve">), exaggerated these attributes, depicting California as a veritable promised land. In addition, flyers advertising a need for farm workers in the Southwest were distributed in areas hard hit by unemployment. An example of such a flyer, publicizing a need for cotton pickers in Arizona, is contained in Charles Todd's </w:t>
      </w:r>
      <w:hyperlink r:id="rId12" w:history="1">
        <w:r w:rsidRPr="00A35DAB">
          <w:rPr>
            <w:rFonts w:ascii="Times" w:hAnsi="Times" w:cs="Times New Roman"/>
            <w:color w:val="0000FF"/>
            <w:sz w:val="20"/>
            <w:szCs w:val="20"/>
            <w:u w:val="single"/>
          </w:rPr>
          <w:t>scrapbook</w:t>
        </w:r>
      </w:hyperlink>
      <w:r w:rsidRPr="00A35DAB">
        <w:rPr>
          <w:rFonts w:ascii="Times" w:hAnsi="Times" w:cs="Times New Roman"/>
          <w:sz w:val="20"/>
          <w:szCs w:val="20"/>
        </w:rPr>
        <w:t xml:space="preserve">. Finally, the country's major east-west thoroughfare, U.S. Highway 66 -- also known as "Route 66," "The Mother Road," "The Main Street of America," and "Will Rogers Highway" -- abetted the westward flight of the migrants. A trip of such length was not undertaken lightly in this pre-interstate era, and Highway 66 provided a direct route from the Dust Bowl region to an area just south of the Central Valley of California. </w:t>
      </w:r>
    </w:p>
    <w:p w:rsidR="00A35DAB" w:rsidRPr="00A35DAB" w:rsidRDefault="00A35DAB" w:rsidP="00A35DAB">
      <w:pPr>
        <w:spacing w:before="100" w:beforeAutospacing="1" w:after="100" w:afterAutospacing="1"/>
        <w:rPr>
          <w:rFonts w:ascii="Times" w:hAnsi="Times" w:cs="Times New Roman"/>
          <w:sz w:val="20"/>
          <w:szCs w:val="20"/>
        </w:rPr>
      </w:pPr>
      <w:r w:rsidRPr="00A35DAB">
        <w:rPr>
          <w:rFonts w:ascii="Times" w:hAnsi="Times" w:cs="Times New Roman"/>
          <w:sz w:val="20"/>
          <w:szCs w:val="20"/>
        </w:rPr>
        <w:t xml:space="preserve">A complex set of interacting forces both economic and ecological brought the migrant workers documented in this </w:t>
      </w:r>
      <w:hyperlink r:id="rId13" w:history="1">
        <w:r w:rsidRPr="00A35DAB">
          <w:rPr>
            <w:rFonts w:ascii="Times" w:hAnsi="Times" w:cs="Times New Roman"/>
            <w:color w:val="0000FF"/>
            <w:sz w:val="20"/>
            <w:szCs w:val="20"/>
            <w:u w:val="single"/>
          </w:rPr>
          <w:t>ethnographic collection</w:t>
        </w:r>
      </w:hyperlink>
      <w:r w:rsidRPr="00A35DAB">
        <w:rPr>
          <w:rFonts w:ascii="Times" w:hAnsi="Times" w:cs="Times New Roman"/>
          <w:sz w:val="20"/>
          <w:szCs w:val="20"/>
        </w:rPr>
        <w:t xml:space="preserve"> to California. Following World War I, a recession led to a drop in the market price of farm crops and caused Great Plains farmers to increase their productivity through mechanization </w:t>
      </w:r>
      <w:r w:rsidRPr="00A35DAB">
        <w:rPr>
          <w:rFonts w:ascii="Times" w:hAnsi="Times" w:cs="Times New Roman"/>
          <w:sz w:val="20"/>
          <w:szCs w:val="20"/>
        </w:rPr>
        <w:lastRenderedPageBreak/>
        <w:t>and the cultivation of more land. This increase in farming activity required an increase in spending that caused many farmers to become financially overextended. The stock market crash in 1929 only served to exacerbate this already tenuous economic situation. Many independent farmers lost their farms when banks came to collect on their notes, while tenant farmers were turned out when economic pressure was brought to bear on large landholders. The attempts of these displaced agricultural workers to find other work were met with frustration due to a 30 percent unemployment rate.</w:t>
      </w:r>
    </w:p>
    <w:tbl>
      <w:tblPr>
        <w:tblpPr w:leftFromText="60" w:rightFromText="60" w:vertAnchor="text" w:tblpXSpec="right" w:tblpYSpec="center"/>
        <w:tblW w:w="1250" w:type="pct"/>
        <w:tblCellSpacing w:w="15" w:type="dxa"/>
        <w:tblCellMar>
          <w:top w:w="200" w:type="dxa"/>
          <w:left w:w="200" w:type="dxa"/>
          <w:bottom w:w="200" w:type="dxa"/>
          <w:right w:w="200" w:type="dxa"/>
        </w:tblCellMar>
        <w:tblLook w:val="04A0" w:firstRow="1" w:lastRow="0" w:firstColumn="1" w:lastColumn="0" w:noHBand="0" w:noVBand="1"/>
      </w:tblPr>
      <w:tblGrid>
        <w:gridCol w:w="5420"/>
      </w:tblGrid>
      <w:tr w:rsidR="00A35DAB" w:rsidRPr="00A35DAB" w:rsidTr="00A35DAB">
        <w:trPr>
          <w:tblCellSpacing w:w="15" w:type="dxa"/>
        </w:trPr>
        <w:tc>
          <w:tcPr>
            <w:tcW w:w="0" w:type="auto"/>
            <w:vAlign w:val="center"/>
            <w:hideMark/>
          </w:tcPr>
          <w:p w:rsidR="00A35DAB" w:rsidRPr="00A35DAB" w:rsidRDefault="00A35DAB" w:rsidP="00A35DAB">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3136900" cy="2540000"/>
                  <wp:effectExtent l="0" t="0" r="12700" b="0"/>
                  <wp:docPr id="3" name="Picture 3" descr="odd recording Frank and Myra Pipkin&#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d recording Frank and Myra Pipkin&#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6900" cy="2540000"/>
                          </a:xfrm>
                          <a:prstGeom prst="rect">
                            <a:avLst/>
                          </a:prstGeom>
                          <a:noFill/>
                          <a:ln>
                            <a:noFill/>
                          </a:ln>
                        </pic:spPr>
                      </pic:pic>
                    </a:graphicData>
                  </a:graphic>
                </wp:inline>
              </w:drawing>
            </w:r>
            <w:r w:rsidRPr="00A35DAB">
              <w:rPr>
                <w:rFonts w:ascii="Times" w:eastAsia="Times New Roman" w:hAnsi="Times" w:cs="Times New Roman"/>
                <w:sz w:val="20"/>
                <w:szCs w:val="20"/>
              </w:rPr>
              <w:br/>
            </w:r>
            <w:r w:rsidRPr="00A35DAB">
              <w:rPr>
                <w:rFonts w:ascii="Times" w:eastAsia="Times New Roman" w:hAnsi="Times" w:cs="Times New Roman"/>
                <w:b/>
                <w:bCs/>
                <w:sz w:val="20"/>
                <w:szCs w:val="20"/>
              </w:rPr>
              <w:t xml:space="preserve">Frank and Myra </w:t>
            </w:r>
            <w:proofErr w:type="spellStart"/>
            <w:r w:rsidRPr="00A35DAB">
              <w:rPr>
                <w:rFonts w:ascii="Times" w:eastAsia="Times New Roman" w:hAnsi="Times" w:cs="Times New Roman"/>
                <w:b/>
                <w:bCs/>
                <w:sz w:val="20"/>
                <w:szCs w:val="20"/>
              </w:rPr>
              <w:t>Pipkin</w:t>
            </w:r>
            <w:proofErr w:type="spellEnd"/>
            <w:r w:rsidRPr="00A35DAB">
              <w:rPr>
                <w:rFonts w:ascii="Times" w:eastAsia="Times New Roman" w:hAnsi="Times" w:cs="Times New Roman"/>
                <w:b/>
                <w:bCs/>
                <w:sz w:val="20"/>
                <w:szCs w:val="20"/>
              </w:rPr>
              <w:t xml:space="preserve"> being recorded by Charles L. Todd at Shafter FSA Camp, Shafter, California, 1941.</w:t>
            </w:r>
            <w:r w:rsidRPr="00A35DAB">
              <w:rPr>
                <w:rFonts w:ascii="Times" w:eastAsia="Times New Roman" w:hAnsi="Times" w:cs="Times New Roman"/>
                <w:sz w:val="20"/>
                <w:szCs w:val="20"/>
              </w:rPr>
              <w:t xml:space="preserve"> Photo by Robert </w:t>
            </w:r>
            <w:proofErr w:type="spellStart"/>
            <w:r w:rsidRPr="00A35DAB">
              <w:rPr>
                <w:rFonts w:ascii="Times" w:eastAsia="Times New Roman" w:hAnsi="Times" w:cs="Times New Roman"/>
                <w:sz w:val="20"/>
                <w:szCs w:val="20"/>
              </w:rPr>
              <w:t>Hemmig</w:t>
            </w:r>
            <w:proofErr w:type="spellEnd"/>
            <w:r w:rsidRPr="00A35DAB">
              <w:rPr>
                <w:rFonts w:ascii="Times" w:eastAsia="Times New Roman" w:hAnsi="Times" w:cs="Times New Roman"/>
                <w:sz w:val="20"/>
                <w:szCs w:val="20"/>
              </w:rPr>
              <w:t>.</w:t>
            </w:r>
          </w:p>
        </w:tc>
      </w:tr>
    </w:tbl>
    <w:p w:rsidR="00A35DAB" w:rsidRPr="00A35DAB" w:rsidRDefault="00A35DAB" w:rsidP="00A35DAB">
      <w:pPr>
        <w:spacing w:before="100" w:beforeAutospacing="1" w:after="100" w:afterAutospacing="1"/>
        <w:rPr>
          <w:rFonts w:ascii="Times" w:hAnsi="Times" w:cs="Times New Roman"/>
          <w:sz w:val="20"/>
          <w:szCs w:val="20"/>
        </w:rPr>
      </w:pPr>
      <w:r w:rsidRPr="00A35DAB">
        <w:rPr>
          <w:rFonts w:ascii="Times" w:hAnsi="Times" w:cs="Times New Roman"/>
          <w:sz w:val="20"/>
          <w:szCs w:val="20"/>
        </w:rPr>
        <w:t xml:space="preserve">At the same time, the increase in farming activity placed greater strain on the land. As the naturally occurring grasslands of the southern Great Plains were replaced with cultivated fields, the rich soil lost its ability to retain moisture and nutrients and began to erode. Soil conservation practices were not widely employed by farmers during this era, so when a seven-year drought began in 1931, followed by the coming of dust storms in 1932, many of the farms literally dried up and blew away creating what became known as the "Dust Bowl." Driven by the Great Depression, drought, and dust storms, thousands of farmers packed up their families and made the difficult journey to California where they hoped to find work. Along with their meager belongings, the Dust Bowl refugees brought with them their inherited cultural expressions. It is this heritage that </w:t>
      </w:r>
      <w:hyperlink r:id="rId14" w:history="1">
        <w:r w:rsidRPr="00A35DAB">
          <w:rPr>
            <w:rFonts w:ascii="Times" w:hAnsi="Times" w:cs="Times New Roman"/>
            <w:color w:val="0000FF"/>
            <w:sz w:val="20"/>
            <w:szCs w:val="20"/>
            <w:u w:val="single"/>
          </w:rPr>
          <w:t>Charles L. Todd</w:t>
        </w:r>
      </w:hyperlink>
      <w:r w:rsidRPr="00A35DAB">
        <w:rPr>
          <w:rFonts w:ascii="Times" w:hAnsi="Times" w:cs="Times New Roman"/>
          <w:sz w:val="20"/>
          <w:szCs w:val="20"/>
        </w:rPr>
        <w:t xml:space="preserve"> and </w:t>
      </w:r>
      <w:hyperlink r:id="rId15" w:history="1">
        <w:r w:rsidRPr="00A35DAB">
          <w:rPr>
            <w:rFonts w:ascii="Times" w:hAnsi="Times" w:cs="Times New Roman"/>
            <w:color w:val="0000FF"/>
            <w:sz w:val="20"/>
            <w:szCs w:val="20"/>
            <w:u w:val="single"/>
          </w:rPr>
          <w:t xml:space="preserve">Robert </w:t>
        </w:r>
        <w:proofErr w:type="spellStart"/>
        <w:r w:rsidRPr="00A35DAB">
          <w:rPr>
            <w:rFonts w:ascii="Times" w:hAnsi="Times" w:cs="Times New Roman"/>
            <w:color w:val="0000FF"/>
            <w:sz w:val="20"/>
            <w:szCs w:val="20"/>
            <w:u w:val="single"/>
          </w:rPr>
          <w:t>Sonkin</w:t>
        </w:r>
        <w:proofErr w:type="spellEnd"/>
      </w:hyperlink>
      <w:r w:rsidRPr="00A35DAB">
        <w:rPr>
          <w:rFonts w:ascii="Times" w:hAnsi="Times" w:cs="Times New Roman"/>
          <w:sz w:val="20"/>
          <w:szCs w:val="20"/>
        </w:rPr>
        <w:t xml:space="preserve"> captured on their documentation </w:t>
      </w:r>
      <w:hyperlink r:id="rId16" w:history="1">
        <w:r w:rsidRPr="00A35DAB">
          <w:rPr>
            <w:rFonts w:ascii="Times" w:hAnsi="Times" w:cs="Times New Roman"/>
            <w:color w:val="0000FF"/>
            <w:sz w:val="20"/>
            <w:szCs w:val="20"/>
            <w:u w:val="single"/>
          </w:rPr>
          <w:t>expedition</w:t>
        </w:r>
      </w:hyperlink>
      <w:r w:rsidRPr="00A35DAB">
        <w:rPr>
          <w:rFonts w:ascii="Times" w:hAnsi="Times" w:cs="Times New Roman"/>
          <w:sz w:val="20"/>
          <w:szCs w:val="20"/>
        </w:rPr>
        <w:t xml:space="preserve"> to migrant work camps and other sites throughout California. </w:t>
      </w:r>
    </w:p>
    <w:p w:rsidR="00A35DAB" w:rsidRPr="00A35DAB" w:rsidRDefault="00A35DAB" w:rsidP="00A35DAB">
      <w:pPr>
        <w:spacing w:before="100" w:beforeAutospacing="1" w:after="100" w:afterAutospacing="1"/>
        <w:rPr>
          <w:rFonts w:ascii="Times" w:hAnsi="Times" w:cs="Times New Roman"/>
          <w:sz w:val="20"/>
          <w:szCs w:val="20"/>
        </w:rPr>
      </w:pPr>
      <w:r w:rsidRPr="00A35DAB">
        <w:rPr>
          <w:rFonts w:ascii="Times" w:hAnsi="Times" w:cs="Times New Roman"/>
          <w:sz w:val="20"/>
          <w:szCs w:val="20"/>
        </w:rPr>
        <w:t>Why did so many of the refugees pin their hopes for a better life on California? One reason was that the state's mild climate allowed for a long growing season and a diversity of crops with staggered planting and harvesting cycles. For people whose lives had revolved around farming, this seemed like an ideal place to look for work. Popular songs and stories, circulating in oral tradition for decades (for more on this topic see "</w:t>
      </w:r>
      <w:hyperlink r:id="rId17" w:history="1">
        <w:r w:rsidRPr="00A35DAB">
          <w:rPr>
            <w:rFonts w:ascii="Times" w:hAnsi="Times" w:cs="Times New Roman"/>
            <w:color w:val="0000FF"/>
            <w:sz w:val="20"/>
            <w:szCs w:val="20"/>
            <w:u w:val="single"/>
          </w:rPr>
          <w:t>The Recording of Folk Music in Northern California</w:t>
        </w:r>
      </w:hyperlink>
      <w:r w:rsidRPr="00A35DAB">
        <w:rPr>
          <w:rFonts w:ascii="Times" w:hAnsi="Times" w:cs="Times New Roman"/>
          <w:sz w:val="20"/>
          <w:szCs w:val="20"/>
        </w:rPr>
        <w:t xml:space="preserve">" by Sidney Robertson </w:t>
      </w:r>
      <w:proofErr w:type="spellStart"/>
      <w:r w:rsidRPr="00A35DAB">
        <w:rPr>
          <w:rFonts w:ascii="Times" w:hAnsi="Times" w:cs="Times New Roman"/>
          <w:sz w:val="20"/>
          <w:szCs w:val="20"/>
        </w:rPr>
        <w:t>Cowell</w:t>
      </w:r>
      <w:proofErr w:type="spellEnd"/>
      <w:r w:rsidRPr="00A35DAB">
        <w:rPr>
          <w:rFonts w:ascii="Times" w:hAnsi="Times" w:cs="Times New Roman"/>
          <w:sz w:val="20"/>
          <w:szCs w:val="20"/>
        </w:rPr>
        <w:t xml:space="preserve">), exaggerated these attributes, depicting California as a veritable promised land. In addition, flyers advertising a need for farm workers in the Southwest were distributed in areas hard hit by unemployment. An example of such a flyer, publicizing a need for cotton pickers in Arizona, is contained in Charles Todd's </w:t>
      </w:r>
      <w:hyperlink r:id="rId18" w:history="1">
        <w:r w:rsidRPr="00A35DAB">
          <w:rPr>
            <w:rFonts w:ascii="Times" w:hAnsi="Times" w:cs="Times New Roman"/>
            <w:color w:val="0000FF"/>
            <w:sz w:val="20"/>
            <w:szCs w:val="20"/>
            <w:u w:val="single"/>
          </w:rPr>
          <w:t>scrapbook</w:t>
        </w:r>
      </w:hyperlink>
      <w:r w:rsidRPr="00A35DAB">
        <w:rPr>
          <w:rFonts w:ascii="Times" w:hAnsi="Times" w:cs="Times New Roman"/>
          <w:sz w:val="20"/>
          <w:szCs w:val="20"/>
        </w:rPr>
        <w:t xml:space="preserve">. Finally, the country's major east-west thoroughfare, U.S. Highway 66 -- also known as "Route 66," "The Mother Road," "The Main Street of America," and "Will Rogers Highway" -- abetted the westward flight of the migrants. A trip of such length was not undertaken lightly in this pre-interstate era, and Highway 66 provided a direct route from the Dust Bowl region to an area just south of the Central Valley of California. </w:t>
      </w:r>
    </w:p>
    <w:tbl>
      <w:tblPr>
        <w:tblpPr w:leftFromText="60" w:rightFromText="60" w:vertAnchor="text" w:tblpXSpec="right" w:tblpYSpec="center"/>
        <w:tblW w:w="1250" w:type="pct"/>
        <w:tblCellSpacing w:w="15" w:type="dxa"/>
        <w:tblCellMar>
          <w:top w:w="200" w:type="dxa"/>
          <w:left w:w="200" w:type="dxa"/>
          <w:bottom w:w="200" w:type="dxa"/>
          <w:right w:w="200" w:type="dxa"/>
        </w:tblCellMar>
        <w:tblLook w:val="04A0" w:firstRow="1" w:lastRow="0" w:firstColumn="1" w:lastColumn="0" w:noHBand="0" w:noVBand="1"/>
      </w:tblPr>
      <w:tblGrid>
        <w:gridCol w:w="5420"/>
      </w:tblGrid>
      <w:tr w:rsidR="00A35DAB" w:rsidRPr="00A35DAB" w:rsidTr="00A35DAB">
        <w:trPr>
          <w:tblCellSpacing w:w="15" w:type="dxa"/>
        </w:trPr>
        <w:tc>
          <w:tcPr>
            <w:tcW w:w="0" w:type="auto"/>
            <w:vAlign w:val="center"/>
            <w:hideMark/>
          </w:tcPr>
          <w:p w:rsidR="00A35DAB" w:rsidRPr="00A35DAB" w:rsidRDefault="00A35DAB" w:rsidP="00A35DAB">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3136900" cy="2540000"/>
                  <wp:effectExtent l="0" t="0" r="12700" b="0"/>
                  <wp:docPr id="5" name="Picture 5" descr="sA camp entrance&#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 camp entrance&#1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6900" cy="2540000"/>
                          </a:xfrm>
                          <a:prstGeom prst="rect">
                            <a:avLst/>
                          </a:prstGeom>
                          <a:noFill/>
                          <a:ln>
                            <a:noFill/>
                          </a:ln>
                        </pic:spPr>
                      </pic:pic>
                    </a:graphicData>
                  </a:graphic>
                </wp:inline>
              </w:drawing>
            </w:r>
            <w:r w:rsidRPr="00A35DAB">
              <w:rPr>
                <w:rFonts w:ascii="Times" w:eastAsia="Times New Roman" w:hAnsi="Times" w:cs="Times New Roman"/>
                <w:b/>
                <w:bCs/>
                <w:sz w:val="20"/>
                <w:szCs w:val="20"/>
              </w:rPr>
              <w:t>Children of Mexican migrant workers posing at entrance to El Rio FSA Camp, El Rio, California, 1941.</w:t>
            </w:r>
            <w:r w:rsidRPr="00A35DAB">
              <w:rPr>
                <w:rFonts w:ascii="Times" w:eastAsia="Times New Roman" w:hAnsi="Times" w:cs="Times New Roman"/>
                <w:sz w:val="20"/>
                <w:szCs w:val="20"/>
              </w:rPr>
              <w:t xml:space="preserve"> Photo by Robert </w:t>
            </w:r>
            <w:proofErr w:type="spellStart"/>
            <w:r w:rsidRPr="00A35DAB">
              <w:rPr>
                <w:rFonts w:ascii="Times" w:eastAsia="Times New Roman" w:hAnsi="Times" w:cs="Times New Roman"/>
                <w:sz w:val="20"/>
                <w:szCs w:val="20"/>
              </w:rPr>
              <w:t>Hemmig</w:t>
            </w:r>
            <w:proofErr w:type="spellEnd"/>
            <w:r w:rsidRPr="00A35DAB">
              <w:rPr>
                <w:rFonts w:ascii="Times" w:eastAsia="Times New Roman" w:hAnsi="Times" w:cs="Times New Roman"/>
                <w:sz w:val="20"/>
                <w:szCs w:val="20"/>
              </w:rPr>
              <w:t xml:space="preserve">. </w:t>
            </w:r>
          </w:p>
        </w:tc>
      </w:tr>
    </w:tbl>
    <w:p w:rsidR="00A35DAB" w:rsidRPr="00A35DAB" w:rsidRDefault="00A35DAB" w:rsidP="00A35DAB">
      <w:pPr>
        <w:spacing w:before="100" w:beforeAutospacing="1" w:after="100" w:afterAutospacing="1"/>
        <w:rPr>
          <w:rFonts w:ascii="Times" w:hAnsi="Times" w:cs="Times New Roman"/>
          <w:sz w:val="20"/>
          <w:szCs w:val="20"/>
        </w:rPr>
      </w:pPr>
      <w:r w:rsidRPr="00A35DAB">
        <w:rPr>
          <w:rFonts w:ascii="Times" w:hAnsi="Times" w:cs="Times New Roman"/>
          <w:sz w:val="20"/>
          <w:szCs w:val="20"/>
        </w:rPr>
        <w:t>California was emphatically not the promised land of the migrants' dreams. Although the weather was comparatively balmy and farmers' fields were bountiful with produce, Californians also felt the effects of the Depression. Local and state infrastructures were already overburdened, and the steady stream of newly arriving migrants was more than the system could bear. After struggling to make it to California, many found themselves turned away at its borders. Those who did cross over into California found that the available labor pool was vastly disproportionate to the number of job openings that could be filled. Migrants who found employment soon learned that this surfeit of workers caused a significant reduction in the going wage rate. Even with an entire family working, migrants could not support themselves on these low wages. Many set up camps along irrigation ditches in the farmers' fields. These "</w:t>
      </w:r>
      <w:proofErr w:type="spellStart"/>
      <w:r w:rsidRPr="00A35DAB">
        <w:rPr>
          <w:rFonts w:ascii="Times" w:hAnsi="Times" w:cs="Times New Roman"/>
          <w:sz w:val="20"/>
          <w:szCs w:val="20"/>
        </w:rPr>
        <w:t>ditchbank</w:t>
      </w:r>
      <w:proofErr w:type="spellEnd"/>
      <w:r w:rsidRPr="00A35DAB">
        <w:rPr>
          <w:rFonts w:ascii="Times" w:hAnsi="Times" w:cs="Times New Roman"/>
          <w:sz w:val="20"/>
          <w:szCs w:val="20"/>
        </w:rPr>
        <w:t xml:space="preserve">" camps fostered poor sanitary conditions and created a public health problem. </w:t>
      </w:r>
    </w:p>
    <w:p w:rsidR="00A35DAB" w:rsidRPr="00A35DAB" w:rsidRDefault="00A35DAB" w:rsidP="00A35DAB">
      <w:pPr>
        <w:spacing w:before="100" w:beforeAutospacing="1" w:after="100" w:afterAutospacing="1"/>
        <w:rPr>
          <w:rFonts w:ascii="Times" w:hAnsi="Times" w:cs="Times New Roman"/>
          <w:sz w:val="20"/>
          <w:szCs w:val="20"/>
        </w:rPr>
      </w:pPr>
      <w:r w:rsidRPr="00A35DAB">
        <w:rPr>
          <w:rFonts w:ascii="Times" w:hAnsi="Times" w:cs="Times New Roman"/>
          <w:sz w:val="20"/>
          <w:szCs w:val="20"/>
        </w:rPr>
        <w:t xml:space="preserve">Arrival in California did not put an end to the migrants' travels. Their lives were characterized by transience. In an attempt to maintain a steady income, workers had to follow the harvest around the state. When potatoes were ready to be picked, the migrants needed to be where the potatoes were. The same principle applied to harvesting cotton, lemons, oranges, peas, and other crops. For this reason, migrant populations were most dense in agricultural centers. The territory covered by Todd and </w:t>
      </w:r>
      <w:proofErr w:type="spellStart"/>
      <w:r w:rsidRPr="00A35DAB">
        <w:rPr>
          <w:rFonts w:ascii="Times" w:hAnsi="Times" w:cs="Times New Roman"/>
          <w:sz w:val="20"/>
          <w:szCs w:val="20"/>
        </w:rPr>
        <w:t>Sonkin</w:t>
      </w:r>
      <w:proofErr w:type="spellEnd"/>
      <w:r w:rsidRPr="00A35DAB">
        <w:rPr>
          <w:rFonts w:ascii="Times" w:hAnsi="Times" w:cs="Times New Roman"/>
          <w:sz w:val="20"/>
          <w:szCs w:val="20"/>
        </w:rPr>
        <w:t xml:space="preserve"> in this project ranged from as far south as El Rio, just north of Oxnard, to as far north as Yuba City, north of Sacramento. Much of the documentation was concentrated in the San Joaquin Valley. </w:t>
      </w:r>
    </w:p>
    <w:p w:rsidR="00A35DAB" w:rsidRPr="00A35DAB" w:rsidRDefault="00A35DAB" w:rsidP="00A35DAB">
      <w:pPr>
        <w:spacing w:before="100" w:beforeAutospacing="1" w:after="100" w:afterAutospacing="1"/>
        <w:rPr>
          <w:rFonts w:ascii="Times" w:hAnsi="Times" w:cs="Times New Roman"/>
          <w:sz w:val="20"/>
          <w:szCs w:val="20"/>
        </w:rPr>
      </w:pPr>
      <w:r w:rsidRPr="00A35DAB">
        <w:rPr>
          <w:rFonts w:ascii="Times" w:hAnsi="Times" w:cs="Times New Roman"/>
          <w:sz w:val="20"/>
          <w:szCs w:val="20"/>
        </w:rPr>
        <w:t>The Arvin Migratory Labor Camp was the first federally operated camp opened by the FSA in 1937 and the starting point of the Todd/</w:t>
      </w:r>
      <w:proofErr w:type="spellStart"/>
      <w:r w:rsidRPr="00A35DAB">
        <w:rPr>
          <w:rFonts w:ascii="Times" w:hAnsi="Times" w:cs="Times New Roman"/>
          <w:sz w:val="20"/>
          <w:szCs w:val="20"/>
        </w:rPr>
        <w:t>Sonkin</w:t>
      </w:r>
      <w:proofErr w:type="spellEnd"/>
      <w:r w:rsidRPr="00A35DAB">
        <w:rPr>
          <w:rFonts w:ascii="Times" w:hAnsi="Times" w:cs="Times New Roman"/>
          <w:sz w:val="20"/>
          <w:szCs w:val="20"/>
        </w:rPr>
        <w:t xml:space="preserve"> </w:t>
      </w:r>
      <w:hyperlink r:id="rId21" w:history="1">
        <w:r w:rsidRPr="00A35DAB">
          <w:rPr>
            <w:rFonts w:ascii="Times" w:hAnsi="Times" w:cs="Times New Roman"/>
            <w:color w:val="0000FF"/>
            <w:sz w:val="20"/>
            <w:szCs w:val="20"/>
            <w:u w:val="single"/>
          </w:rPr>
          <w:t>expedition</w:t>
        </w:r>
      </w:hyperlink>
      <w:r w:rsidRPr="00A35DAB">
        <w:rPr>
          <w:rFonts w:ascii="Times" w:hAnsi="Times" w:cs="Times New Roman"/>
          <w:sz w:val="20"/>
          <w:szCs w:val="20"/>
        </w:rPr>
        <w:t xml:space="preserve">. The camps were intended to resolve poor sanitation and public health problems, as well as to mitigate the burden placed on state and local infrastructures. The FSA camps also furnished the migrants with a safe space in which to retire from the discrimination that plagued them and in which to practice their culture and rekindle a sense of community. Although each camp had a small staff of administrators, much of the responsibility for daily operations and governance devolved to the campers themselves. Civil activities were carried out through camp councils and camp courts. Proceedings of council meetings and court sessions can be found among the audio files in this online presentation. Project </w:t>
      </w:r>
      <w:hyperlink r:id="rId22" w:history="1">
        <w:proofErr w:type="spellStart"/>
        <w:r w:rsidRPr="00A35DAB">
          <w:rPr>
            <w:rFonts w:ascii="Times" w:hAnsi="Times" w:cs="Times New Roman"/>
            <w:color w:val="0000FF"/>
            <w:sz w:val="20"/>
            <w:szCs w:val="20"/>
            <w:u w:val="single"/>
          </w:rPr>
          <w:t>fieldnotes</w:t>
        </w:r>
        <w:proofErr w:type="spellEnd"/>
      </w:hyperlink>
      <w:r w:rsidRPr="00A35DAB">
        <w:rPr>
          <w:rFonts w:ascii="Times" w:hAnsi="Times" w:cs="Times New Roman"/>
          <w:sz w:val="20"/>
          <w:szCs w:val="20"/>
        </w:rPr>
        <w:t xml:space="preserve"> provide further information about the composition, operation, and context of these bodies as well as details about camp occupancy and organization. </w:t>
      </w:r>
    </w:p>
    <w:p w:rsidR="00A35DAB" w:rsidRPr="00A35DAB" w:rsidRDefault="00A35DAB" w:rsidP="00A35DAB">
      <w:pPr>
        <w:spacing w:before="100" w:beforeAutospacing="1" w:after="100" w:afterAutospacing="1"/>
        <w:rPr>
          <w:rFonts w:ascii="Times" w:hAnsi="Times" w:cs="Times New Roman"/>
          <w:sz w:val="20"/>
          <w:szCs w:val="20"/>
        </w:rPr>
      </w:pPr>
      <w:r w:rsidRPr="00A35DAB">
        <w:rPr>
          <w:rFonts w:ascii="Times" w:hAnsi="Times" w:cs="Times New Roman"/>
          <w:sz w:val="20"/>
          <w:szCs w:val="20"/>
        </w:rPr>
        <w:t>When they were not working or looking for work, or tending to the civil and domestic operations of the camp, the migrants found time to engage in recreational activities. Singing and making music took place both in private living quarters and in public spaces. The music performed by the migrants came from a number of different sources. The majority of pieces belong to the Anglo-Celtic ballad tradition. Songs such as "</w:t>
      </w:r>
      <w:hyperlink r:id="rId23" w:history="1">
        <w:r w:rsidRPr="00A35DAB">
          <w:rPr>
            <w:rFonts w:ascii="Times" w:hAnsi="Times" w:cs="Times New Roman"/>
            <w:color w:val="0000FF"/>
            <w:sz w:val="20"/>
            <w:szCs w:val="20"/>
            <w:u w:val="single"/>
          </w:rPr>
          <w:t>Barbara Allen</w:t>
        </w:r>
      </w:hyperlink>
      <w:r w:rsidRPr="00A35DAB">
        <w:rPr>
          <w:rFonts w:ascii="Times" w:hAnsi="Times" w:cs="Times New Roman"/>
          <w:sz w:val="20"/>
          <w:szCs w:val="20"/>
        </w:rPr>
        <w:t>", "</w:t>
      </w:r>
      <w:hyperlink r:id="rId24" w:history="1">
        <w:r w:rsidRPr="00A35DAB">
          <w:rPr>
            <w:rFonts w:ascii="Times" w:hAnsi="Times" w:cs="Times New Roman"/>
            <w:color w:val="0000FF"/>
            <w:sz w:val="20"/>
            <w:szCs w:val="20"/>
            <w:u w:val="single"/>
          </w:rPr>
          <w:t>The Brown Girl</w:t>
        </w:r>
      </w:hyperlink>
      <w:r w:rsidRPr="00A35DAB">
        <w:rPr>
          <w:rFonts w:ascii="Times" w:hAnsi="Times" w:cs="Times New Roman"/>
          <w:sz w:val="20"/>
          <w:szCs w:val="20"/>
        </w:rPr>
        <w:t>", "</w:t>
      </w:r>
      <w:hyperlink r:id="rId25" w:history="1">
        <w:r w:rsidRPr="00A35DAB">
          <w:rPr>
            <w:rFonts w:ascii="Times" w:hAnsi="Times" w:cs="Times New Roman"/>
            <w:color w:val="0000FF"/>
            <w:sz w:val="20"/>
            <w:szCs w:val="20"/>
            <w:u w:val="single"/>
          </w:rPr>
          <w:t>Nine Little Devils</w:t>
        </w:r>
      </w:hyperlink>
      <w:r w:rsidRPr="00A35DAB">
        <w:rPr>
          <w:rFonts w:ascii="Times" w:hAnsi="Times" w:cs="Times New Roman"/>
          <w:sz w:val="20"/>
          <w:szCs w:val="20"/>
        </w:rPr>
        <w:t>", "</w:t>
      </w:r>
      <w:hyperlink r:id="rId26" w:history="1">
        <w:r w:rsidRPr="00A35DAB">
          <w:rPr>
            <w:rFonts w:ascii="Times" w:hAnsi="Times" w:cs="Times New Roman"/>
            <w:color w:val="0000FF"/>
            <w:sz w:val="20"/>
            <w:szCs w:val="20"/>
            <w:u w:val="single"/>
          </w:rPr>
          <w:t>Father Rumble</w:t>
        </w:r>
      </w:hyperlink>
      <w:r w:rsidRPr="00A35DAB">
        <w:rPr>
          <w:rFonts w:ascii="Times" w:hAnsi="Times" w:cs="Times New Roman"/>
          <w:sz w:val="20"/>
          <w:szCs w:val="20"/>
        </w:rPr>
        <w:t>", "</w:t>
      </w:r>
      <w:hyperlink r:id="rId27" w:history="1">
        <w:r w:rsidRPr="00A35DAB">
          <w:rPr>
            <w:rFonts w:ascii="Times" w:hAnsi="Times" w:cs="Times New Roman"/>
            <w:color w:val="0000FF"/>
            <w:sz w:val="20"/>
            <w:szCs w:val="20"/>
            <w:u w:val="single"/>
          </w:rPr>
          <w:t xml:space="preserve">Lloyd Bateman </w:t>
        </w:r>
      </w:hyperlink>
      <w:r w:rsidRPr="00A35DAB">
        <w:rPr>
          <w:rFonts w:ascii="Times" w:hAnsi="Times" w:cs="Times New Roman"/>
          <w:sz w:val="20"/>
          <w:szCs w:val="20"/>
        </w:rPr>
        <w:t>", "</w:t>
      </w:r>
      <w:hyperlink r:id="rId28" w:history="1">
        <w:r w:rsidRPr="00A35DAB">
          <w:rPr>
            <w:rFonts w:ascii="Times" w:hAnsi="Times" w:cs="Times New Roman"/>
            <w:color w:val="0000FF"/>
            <w:sz w:val="20"/>
            <w:szCs w:val="20"/>
            <w:u w:val="single"/>
          </w:rPr>
          <w:t xml:space="preserve">Pretty Molly </w:t>
        </w:r>
      </w:hyperlink>
      <w:r w:rsidRPr="00A35DAB">
        <w:rPr>
          <w:rFonts w:ascii="Times" w:hAnsi="Times" w:cs="Times New Roman"/>
          <w:sz w:val="20"/>
          <w:szCs w:val="20"/>
        </w:rPr>
        <w:t>", and "</w:t>
      </w:r>
      <w:hyperlink r:id="rId29" w:history="1">
        <w:r w:rsidRPr="00A35DAB">
          <w:rPr>
            <w:rFonts w:ascii="Times" w:hAnsi="Times" w:cs="Times New Roman"/>
            <w:color w:val="0000FF"/>
            <w:sz w:val="20"/>
            <w:szCs w:val="20"/>
            <w:u w:val="single"/>
          </w:rPr>
          <w:t xml:space="preserve">Little </w:t>
        </w:r>
        <w:proofErr w:type="spellStart"/>
        <w:r w:rsidRPr="00A35DAB">
          <w:rPr>
            <w:rFonts w:ascii="Times" w:hAnsi="Times" w:cs="Times New Roman"/>
            <w:color w:val="0000FF"/>
            <w:sz w:val="20"/>
            <w:szCs w:val="20"/>
            <w:u w:val="single"/>
          </w:rPr>
          <w:t>Mohee</w:t>
        </w:r>
        <w:proofErr w:type="spellEnd"/>
      </w:hyperlink>
      <w:r w:rsidRPr="00A35DAB">
        <w:rPr>
          <w:rFonts w:ascii="Times" w:hAnsi="Times" w:cs="Times New Roman"/>
          <w:sz w:val="20"/>
          <w:szCs w:val="20"/>
        </w:rPr>
        <w:t xml:space="preserve">" all reflect this tradition. Gospel and popular music are other sources from which migrants took their inspiration. The minstrel stage, </w:t>
      </w:r>
      <w:proofErr w:type="gramStart"/>
      <w:r w:rsidRPr="00A35DAB">
        <w:rPr>
          <w:rFonts w:ascii="Times" w:hAnsi="Times" w:cs="Times New Roman"/>
          <w:sz w:val="20"/>
          <w:szCs w:val="20"/>
        </w:rPr>
        <w:t>tin pan alley</w:t>
      </w:r>
      <w:proofErr w:type="gramEnd"/>
      <w:r w:rsidRPr="00A35DAB">
        <w:rPr>
          <w:rFonts w:ascii="Times" w:hAnsi="Times" w:cs="Times New Roman"/>
          <w:sz w:val="20"/>
          <w:szCs w:val="20"/>
        </w:rPr>
        <w:t>, early country, and cowboy music were all popular music sources that fed the performers' repertoires. The works of the Carter Family, Jimmy Rodgers, and Gene Autry were particular favorites of the migrants. Although all the music in this collection gives us a sense of the informants' cultural milieu, those pieces that document the migrant experience are especially poignant. Songs like Jack Bryant's "</w:t>
      </w:r>
      <w:hyperlink r:id="rId30" w:history="1">
        <w:r w:rsidRPr="00A35DAB">
          <w:rPr>
            <w:rFonts w:ascii="Times" w:hAnsi="Times" w:cs="Times New Roman"/>
            <w:color w:val="0000FF"/>
            <w:sz w:val="20"/>
            <w:szCs w:val="20"/>
            <w:u w:val="single"/>
          </w:rPr>
          <w:t>Sunny Cal</w:t>
        </w:r>
      </w:hyperlink>
      <w:r w:rsidRPr="00A35DAB">
        <w:rPr>
          <w:rFonts w:ascii="Times" w:hAnsi="Times" w:cs="Times New Roman"/>
          <w:sz w:val="20"/>
          <w:szCs w:val="20"/>
        </w:rPr>
        <w:t>" and Mary Sullivan's ballads "</w:t>
      </w:r>
      <w:hyperlink r:id="rId31" w:history="1">
        <w:r w:rsidRPr="00A35DAB">
          <w:rPr>
            <w:rFonts w:ascii="Times" w:hAnsi="Times" w:cs="Times New Roman"/>
            <w:color w:val="0000FF"/>
            <w:sz w:val="20"/>
            <w:szCs w:val="20"/>
            <w:u w:val="single"/>
          </w:rPr>
          <w:t>A Traveler's Line</w:t>
        </w:r>
      </w:hyperlink>
      <w:r w:rsidRPr="00A35DAB">
        <w:rPr>
          <w:rFonts w:ascii="Times" w:hAnsi="Times" w:cs="Times New Roman"/>
          <w:sz w:val="20"/>
          <w:szCs w:val="20"/>
        </w:rPr>
        <w:t>" and "</w:t>
      </w:r>
      <w:hyperlink r:id="rId32" w:history="1">
        <w:r w:rsidRPr="00A35DAB">
          <w:rPr>
            <w:rFonts w:ascii="Times" w:hAnsi="Times" w:cs="Times New Roman"/>
            <w:color w:val="0000FF"/>
            <w:sz w:val="20"/>
            <w:szCs w:val="20"/>
            <w:u w:val="single"/>
          </w:rPr>
          <w:t>Sunny California</w:t>
        </w:r>
      </w:hyperlink>
      <w:r w:rsidRPr="00A35DAB">
        <w:rPr>
          <w:rFonts w:ascii="Times" w:hAnsi="Times" w:cs="Times New Roman"/>
          <w:sz w:val="20"/>
          <w:szCs w:val="20"/>
        </w:rPr>
        <w:t xml:space="preserve">" all speak of hardship, disappointment, and a deeply cherished wish to return home. </w:t>
      </w:r>
    </w:p>
    <w:tbl>
      <w:tblPr>
        <w:tblpPr w:leftFromText="60" w:rightFromText="60" w:vertAnchor="text"/>
        <w:tblW w:w="1250" w:type="pct"/>
        <w:tblCellSpacing w:w="15" w:type="dxa"/>
        <w:tblCellMar>
          <w:top w:w="200" w:type="dxa"/>
          <w:left w:w="200" w:type="dxa"/>
          <w:bottom w:w="200" w:type="dxa"/>
          <w:right w:w="200" w:type="dxa"/>
        </w:tblCellMar>
        <w:tblLook w:val="04A0" w:firstRow="1" w:lastRow="0" w:firstColumn="1" w:lastColumn="0" w:noHBand="0" w:noVBand="1"/>
      </w:tblPr>
      <w:tblGrid>
        <w:gridCol w:w="5420"/>
      </w:tblGrid>
      <w:tr w:rsidR="00A35DAB" w:rsidRPr="00A35DAB" w:rsidTr="00A35DAB">
        <w:trPr>
          <w:tblCellSpacing w:w="15" w:type="dxa"/>
        </w:trPr>
        <w:tc>
          <w:tcPr>
            <w:tcW w:w="0" w:type="auto"/>
            <w:vAlign w:val="center"/>
            <w:hideMark/>
          </w:tcPr>
          <w:p w:rsidR="00A35DAB" w:rsidRPr="00A35DAB" w:rsidRDefault="00A35DAB" w:rsidP="00A35DAB">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3136900" cy="2540000"/>
                  <wp:effectExtent l="0" t="0" r="12700" b="0"/>
                  <wp:docPr id="7" name="Picture 7" descr="en in recreation hall&#1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 in recreation hall&#10;">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36900" cy="2540000"/>
                          </a:xfrm>
                          <a:prstGeom prst="rect">
                            <a:avLst/>
                          </a:prstGeom>
                          <a:noFill/>
                          <a:ln>
                            <a:noFill/>
                          </a:ln>
                        </pic:spPr>
                      </pic:pic>
                    </a:graphicData>
                  </a:graphic>
                </wp:inline>
              </w:drawing>
            </w:r>
            <w:r w:rsidRPr="00A35DAB">
              <w:rPr>
                <w:rFonts w:ascii="Times" w:eastAsia="Times New Roman" w:hAnsi="Times" w:cs="Times New Roman"/>
                <w:b/>
                <w:bCs/>
                <w:sz w:val="20"/>
                <w:szCs w:val="20"/>
              </w:rPr>
              <w:t>Men in recreation hall at Tulare FSA Camp, Visalia, California, 1940.</w:t>
            </w:r>
            <w:r w:rsidRPr="00A35DAB">
              <w:rPr>
                <w:rFonts w:ascii="Times" w:eastAsia="Times New Roman" w:hAnsi="Times" w:cs="Times New Roman"/>
                <w:sz w:val="20"/>
                <w:szCs w:val="20"/>
              </w:rPr>
              <w:t xml:space="preserve"> Photo by Arthur Rothstein, Farm Security Administration. </w:t>
            </w:r>
          </w:p>
        </w:tc>
      </w:tr>
    </w:tbl>
    <w:p w:rsidR="00A35DAB" w:rsidRPr="00A35DAB" w:rsidRDefault="00A35DAB" w:rsidP="00A35DAB">
      <w:pPr>
        <w:spacing w:before="100" w:beforeAutospacing="1" w:after="100" w:afterAutospacing="1"/>
        <w:rPr>
          <w:rFonts w:ascii="Times" w:hAnsi="Times" w:cs="Times New Roman"/>
          <w:sz w:val="20"/>
          <w:szCs w:val="20"/>
        </w:rPr>
      </w:pPr>
      <w:r w:rsidRPr="00A35DAB">
        <w:rPr>
          <w:rFonts w:ascii="Times" w:hAnsi="Times" w:cs="Times New Roman"/>
          <w:sz w:val="20"/>
          <w:szCs w:val="20"/>
        </w:rPr>
        <w:t>In addition to songs and instrumental music, the migrants enjoyed dancing and play-party activities (singing games accompanied by dance-like movements). Included in this online presentation are square dance calls, such as "</w:t>
      </w:r>
      <w:hyperlink r:id="rId35" w:history="1">
        <w:r w:rsidRPr="00A35DAB">
          <w:rPr>
            <w:rFonts w:ascii="Times" w:hAnsi="Times" w:cs="Times New Roman"/>
            <w:color w:val="0000FF"/>
            <w:sz w:val="20"/>
            <w:szCs w:val="20"/>
            <w:u w:val="single"/>
          </w:rPr>
          <w:t>Soldier's Joy</w:t>
        </w:r>
      </w:hyperlink>
      <w:r w:rsidRPr="00A35DAB">
        <w:rPr>
          <w:rFonts w:ascii="Times" w:hAnsi="Times" w:cs="Times New Roman"/>
          <w:sz w:val="20"/>
          <w:szCs w:val="20"/>
        </w:rPr>
        <w:t>" and "</w:t>
      </w:r>
      <w:hyperlink r:id="rId36" w:history="1">
        <w:r w:rsidRPr="00A35DAB">
          <w:rPr>
            <w:rFonts w:ascii="Times" w:hAnsi="Times" w:cs="Times New Roman"/>
            <w:color w:val="0000FF"/>
            <w:sz w:val="20"/>
            <w:szCs w:val="20"/>
            <w:u w:val="single"/>
          </w:rPr>
          <w:t xml:space="preserve">Sally </w:t>
        </w:r>
        <w:proofErr w:type="spellStart"/>
        <w:r w:rsidRPr="00A35DAB">
          <w:rPr>
            <w:rFonts w:ascii="Times" w:hAnsi="Times" w:cs="Times New Roman"/>
            <w:color w:val="0000FF"/>
            <w:sz w:val="20"/>
            <w:szCs w:val="20"/>
            <w:u w:val="single"/>
          </w:rPr>
          <w:t>Goodin</w:t>
        </w:r>
        <w:proofErr w:type="spellEnd"/>
      </w:hyperlink>
      <w:r w:rsidRPr="00A35DAB">
        <w:rPr>
          <w:rFonts w:ascii="Times" w:hAnsi="Times" w:cs="Times New Roman"/>
          <w:sz w:val="20"/>
          <w:szCs w:val="20"/>
        </w:rPr>
        <w:t>", and play-party rhymes like "</w:t>
      </w:r>
      <w:hyperlink r:id="rId37" w:history="1">
        <w:r w:rsidRPr="00A35DAB">
          <w:rPr>
            <w:rFonts w:ascii="Times" w:hAnsi="Times" w:cs="Times New Roman"/>
            <w:color w:val="0000FF"/>
            <w:sz w:val="20"/>
            <w:szCs w:val="20"/>
            <w:u w:val="single"/>
          </w:rPr>
          <w:t>Skip to My Lou</w:t>
        </w:r>
      </w:hyperlink>
      <w:r w:rsidRPr="00A35DAB">
        <w:rPr>
          <w:rFonts w:ascii="Times" w:hAnsi="Times" w:cs="Times New Roman"/>
          <w:sz w:val="20"/>
          <w:szCs w:val="20"/>
        </w:rPr>
        <w:t>" and "</w:t>
      </w:r>
      <w:hyperlink r:id="rId38" w:history="1">
        <w:r w:rsidRPr="00A35DAB">
          <w:rPr>
            <w:rFonts w:ascii="Times" w:hAnsi="Times" w:cs="Times New Roman"/>
            <w:color w:val="0000FF"/>
            <w:sz w:val="20"/>
            <w:szCs w:val="20"/>
            <w:u w:val="single"/>
          </w:rPr>
          <w:t>Old Joe Clark</w:t>
        </w:r>
      </w:hyperlink>
      <w:r w:rsidRPr="00A35DAB">
        <w:rPr>
          <w:rFonts w:ascii="Times" w:hAnsi="Times" w:cs="Times New Roman"/>
          <w:sz w:val="20"/>
          <w:szCs w:val="20"/>
        </w:rPr>
        <w:t xml:space="preserve">." </w:t>
      </w:r>
      <w:hyperlink r:id="rId39" w:history="1">
        <w:r w:rsidRPr="00A35DAB">
          <w:rPr>
            <w:rFonts w:ascii="Times" w:hAnsi="Times" w:cs="Times New Roman"/>
            <w:color w:val="0000FF"/>
            <w:sz w:val="20"/>
            <w:szCs w:val="20"/>
            <w:u w:val="single"/>
          </w:rPr>
          <w:t>Newsletters</w:t>
        </w:r>
      </w:hyperlink>
      <w:r w:rsidRPr="00A35DAB">
        <w:rPr>
          <w:rFonts w:ascii="Times" w:hAnsi="Times" w:cs="Times New Roman"/>
          <w:sz w:val="20"/>
          <w:szCs w:val="20"/>
        </w:rPr>
        <w:t xml:space="preserve"> produced by camp residents provided additional details about camp social life and recreational activities. </w:t>
      </w:r>
    </w:p>
    <w:p w:rsidR="00A35DAB" w:rsidRPr="00A35DAB" w:rsidRDefault="00A35DAB" w:rsidP="00A35DAB">
      <w:pPr>
        <w:spacing w:before="100" w:beforeAutospacing="1" w:after="100" w:afterAutospacing="1"/>
        <w:rPr>
          <w:rFonts w:ascii="Times" w:hAnsi="Times" w:cs="Times New Roman"/>
          <w:sz w:val="20"/>
          <w:szCs w:val="20"/>
        </w:rPr>
      </w:pPr>
      <w:r w:rsidRPr="00A35DAB">
        <w:rPr>
          <w:rFonts w:ascii="Times" w:hAnsi="Times" w:cs="Times New Roman"/>
          <w:sz w:val="20"/>
          <w:szCs w:val="20"/>
        </w:rPr>
        <w:t xml:space="preserve">As World War II wore on, the state of the economy, both in California and across the nation, improved dramatically as the defense industry geared up to meet the needs of the war effort. Many of the migrants went off to fight in the war. Those who were left behind took advantage of the job opportunities that had become available in West Coast shipyards and defense plants. As a result of this more stable lifestyle, numerous Dust Bowl refugees put down new roots in California soil, where their descendants reside to this day. </w:t>
      </w:r>
      <w:proofErr w:type="gramStart"/>
      <w:r w:rsidRPr="00A35DAB">
        <w:rPr>
          <w:rFonts w:ascii="Times" w:hAnsi="Times" w:cs="Times New Roman"/>
          <w:sz w:val="20"/>
          <w:szCs w:val="20"/>
        </w:rPr>
        <w:t>Voices from the Dust Bowl provides</w:t>
      </w:r>
      <w:proofErr w:type="gramEnd"/>
      <w:r w:rsidRPr="00A35DAB">
        <w:rPr>
          <w:rFonts w:ascii="Times" w:hAnsi="Times" w:cs="Times New Roman"/>
          <w:sz w:val="20"/>
          <w:szCs w:val="20"/>
        </w:rPr>
        <w:t xml:space="preserve"> a glimpse into the everyday life and cultural expression of a group of people living through a particularly difficult period in American history. Charles L. Todd's articles "</w:t>
      </w:r>
      <w:hyperlink r:id="rId40" w:history="1">
        <w:r w:rsidRPr="00A35DAB">
          <w:rPr>
            <w:rFonts w:ascii="Times" w:hAnsi="Times" w:cs="Times New Roman"/>
            <w:color w:val="0000FF"/>
            <w:sz w:val="20"/>
            <w:szCs w:val="20"/>
            <w:u w:val="single"/>
          </w:rPr>
          <w:t>The Okies Search for a Lost Frontier</w:t>
        </w:r>
      </w:hyperlink>
      <w:r w:rsidRPr="00A35DAB">
        <w:rPr>
          <w:rFonts w:ascii="Times" w:hAnsi="Times" w:cs="Times New Roman"/>
          <w:sz w:val="20"/>
          <w:szCs w:val="20"/>
        </w:rPr>
        <w:t>" and "</w:t>
      </w:r>
      <w:hyperlink r:id="rId41" w:history="1">
        <w:r w:rsidRPr="00A35DAB">
          <w:rPr>
            <w:rFonts w:ascii="Times" w:hAnsi="Times" w:cs="Times New Roman"/>
            <w:color w:val="0000FF"/>
            <w:sz w:val="20"/>
            <w:szCs w:val="20"/>
            <w:u w:val="single"/>
          </w:rPr>
          <w:t>Trampling out the Vintage: Farm Security Camps Provide the Imperial Valley Migrants with a Home and a Hope</w:t>
        </w:r>
      </w:hyperlink>
      <w:r w:rsidRPr="00A35DAB">
        <w:rPr>
          <w:rFonts w:ascii="Times" w:hAnsi="Times" w:cs="Times New Roman"/>
          <w:sz w:val="20"/>
          <w:szCs w:val="20"/>
        </w:rPr>
        <w:t xml:space="preserve">" give an overview of the historical, economic, and social context in which this collection was created. </w:t>
      </w:r>
    </w:p>
    <w:p w:rsidR="00A35DAB" w:rsidRPr="00A35DAB" w:rsidRDefault="00A35DAB" w:rsidP="00A35DAB">
      <w:pPr>
        <w:spacing w:before="100" w:beforeAutospacing="1" w:after="100" w:afterAutospacing="1"/>
        <w:rPr>
          <w:rFonts w:ascii="Times" w:hAnsi="Times" w:cs="Times New Roman"/>
          <w:sz w:val="20"/>
          <w:szCs w:val="20"/>
        </w:rPr>
      </w:pPr>
      <w:r>
        <w:rPr>
          <w:rFonts w:eastAsia="Times New Roman" w:cs="Times New Roman"/>
        </w:rPr>
        <w:t xml:space="preserve">Robin A. </w:t>
      </w:r>
      <w:proofErr w:type="spellStart"/>
      <w:r>
        <w:rPr>
          <w:rFonts w:eastAsia="Times New Roman" w:cs="Times New Roman"/>
        </w:rPr>
        <w:t>Fanslow</w:t>
      </w:r>
      <w:proofErr w:type="spellEnd"/>
      <w:r>
        <w:rPr>
          <w:rFonts w:eastAsia="Times New Roman" w:cs="Times New Roman"/>
        </w:rPr>
        <w:br/>
        <w:t xml:space="preserve">American </w:t>
      </w:r>
      <w:proofErr w:type="spellStart"/>
      <w:r>
        <w:rPr>
          <w:rFonts w:eastAsia="Times New Roman" w:cs="Times New Roman"/>
        </w:rPr>
        <w:t>Folklife</w:t>
      </w:r>
      <w:proofErr w:type="spellEnd"/>
      <w:r>
        <w:rPr>
          <w:rFonts w:eastAsia="Times New Roman" w:cs="Times New Roman"/>
        </w:rPr>
        <w:t xml:space="preserve"> Center</w:t>
      </w:r>
      <w:r>
        <w:rPr>
          <w:rFonts w:eastAsia="Times New Roman" w:cs="Times New Roman"/>
        </w:rPr>
        <w:br/>
        <w:t>Library of Congress</w:t>
      </w:r>
      <w:r>
        <w:rPr>
          <w:rFonts w:eastAsia="Times New Roman" w:cs="Times New Roman"/>
        </w:rPr>
        <w:br/>
        <w:t>April 6, 1998</w:t>
      </w:r>
    </w:p>
    <w:p w:rsidR="00944F53" w:rsidRDefault="00944F53"/>
    <w:sectPr w:rsidR="00944F53" w:rsidSect="00944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AB"/>
    <w:rsid w:val="00944F53"/>
    <w:rsid w:val="00A35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AD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5DA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DA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35DAB"/>
    <w:rPr>
      <w:color w:val="0000FF"/>
      <w:u w:val="single"/>
    </w:rPr>
  </w:style>
  <w:style w:type="paragraph" w:styleId="BalloonText">
    <w:name w:val="Balloon Text"/>
    <w:basedOn w:val="Normal"/>
    <w:link w:val="BalloonTextChar"/>
    <w:uiPriority w:val="99"/>
    <w:semiHidden/>
    <w:unhideWhenUsed/>
    <w:rsid w:val="00A35DAB"/>
    <w:rPr>
      <w:rFonts w:ascii="Lucida Grande" w:hAnsi="Lucida Grande"/>
      <w:sz w:val="18"/>
      <w:szCs w:val="18"/>
    </w:rPr>
  </w:style>
  <w:style w:type="character" w:customStyle="1" w:styleId="BalloonTextChar">
    <w:name w:val="Balloon Text Char"/>
    <w:basedOn w:val="DefaultParagraphFont"/>
    <w:link w:val="BalloonText"/>
    <w:uiPriority w:val="99"/>
    <w:semiHidden/>
    <w:rsid w:val="00A35DAB"/>
    <w:rPr>
      <w:rFonts w:ascii="Lucida Grande" w:hAnsi="Lucida Grande"/>
      <w:sz w:val="18"/>
      <w:szCs w:val="18"/>
    </w:rPr>
  </w:style>
  <w:style w:type="character" w:customStyle="1" w:styleId="Heading2Char">
    <w:name w:val="Heading 2 Char"/>
    <w:basedOn w:val="DefaultParagraphFont"/>
    <w:link w:val="Heading2"/>
    <w:uiPriority w:val="9"/>
    <w:rsid w:val="00A35DAB"/>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5DA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DA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35DAB"/>
    <w:rPr>
      <w:color w:val="0000FF"/>
      <w:u w:val="single"/>
    </w:rPr>
  </w:style>
  <w:style w:type="paragraph" w:styleId="BalloonText">
    <w:name w:val="Balloon Text"/>
    <w:basedOn w:val="Normal"/>
    <w:link w:val="BalloonTextChar"/>
    <w:uiPriority w:val="99"/>
    <w:semiHidden/>
    <w:unhideWhenUsed/>
    <w:rsid w:val="00A35DAB"/>
    <w:rPr>
      <w:rFonts w:ascii="Lucida Grande" w:hAnsi="Lucida Grande"/>
      <w:sz w:val="18"/>
      <w:szCs w:val="18"/>
    </w:rPr>
  </w:style>
  <w:style w:type="character" w:customStyle="1" w:styleId="BalloonTextChar">
    <w:name w:val="Balloon Text Char"/>
    <w:basedOn w:val="DefaultParagraphFont"/>
    <w:link w:val="BalloonText"/>
    <w:uiPriority w:val="99"/>
    <w:semiHidden/>
    <w:rsid w:val="00A35DAB"/>
    <w:rPr>
      <w:rFonts w:ascii="Lucida Grande" w:hAnsi="Lucida Grande"/>
      <w:sz w:val="18"/>
      <w:szCs w:val="18"/>
    </w:rPr>
  </w:style>
  <w:style w:type="character" w:customStyle="1" w:styleId="Heading2Char">
    <w:name w:val="Heading 2 Char"/>
    <w:basedOn w:val="DefaultParagraphFont"/>
    <w:link w:val="Heading2"/>
    <w:uiPriority w:val="9"/>
    <w:rsid w:val="00A35DAB"/>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01799">
      <w:bodyDiv w:val="1"/>
      <w:marLeft w:val="0"/>
      <w:marRight w:val="0"/>
      <w:marTop w:val="0"/>
      <w:marBottom w:val="0"/>
      <w:divBdr>
        <w:top w:val="none" w:sz="0" w:space="0" w:color="auto"/>
        <w:left w:val="none" w:sz="0" w:space="0" w:color="auto"/>
        <w:bottom w:val="none" w:sz="0" w:space="0" w:color="auto"/>
        <w:right w:val="none" w:sz="0" w:space="0" w:color="auto"/>
      </w:divBdr>
    </w:div>
    <w:div w:id="424349202">
      <w:bodyDiv w:val="1"/>
      <w:marLeft w:val="0"/>
      <w:marRight w:val="0"/>
      <w:marTop w:val="0"/>
      <w:marBottom w:val="0"/>
      <w:divBdr>
        <w:top w:val="none" w:sz="0" w:space="0" w:color="auto"/>
        <w:left w:val="none" w:sz="0" w:space="0" w:color="auto"/>
        <w:bottom w:val="none" w:sz="0" w:space="0" w:color="auto"/>
        <w:right w:val="none" w:sz="0" w:space="0" w:color="auto"/>
      </w:divBdr>
    </w:div>
    <w:div w:id="1513370682">
      <w:bodyDiv w:val="1"/>
      <w:marLeft w:val="0"/>
      <w:marRight w:val="0"/>
      <w:marTop w:val="0"/>
      <w:marBottom w:val="0"/>
      <w:divBdr>
        <w:top w:val="none" w:sz="0" w:space="0" w:color="auto"/>
        <w:left w:val="none" w:sz="0" w:space="0" w:color="auto"/>
        <w:bottom w:val="none" w:sz="0" w:space="0" w:color="auto"/>
        <w:right w:val="none" w:sz="0" w:space="0" w:color="auto"/>
      </w:divBdr>
    </w:div>
    <w:div w:id="1659772040">
      <w:bodyDiv w:val="1"/>
      <w:marLeft w:val="0"/>
      <w:marRight w:val="0"/>
      <w:marTop w:val="0"/>
      <w:marBottom w:val="0"/>
      <w:divBdr>
        <w:top w:val="none" w:sz="0" w:space="0" w:color="auto"/>
        <w:left w:val="none" w:sz="0" w:space="0" w:color="auto"/>
        <w:bottom w:val="none" w:sz="0" w:space="0" w:color="auto"/>
        <w:right w:val="none" w:sz="0" w:space="0" w:color="auto"/>
      </w:divBdr>
    </w:div>
    <w:div w:id="2103186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gif"/><Relationship Id="rId21" Type="http://schemas.openxmlformats.org/officeDocument/2006/relationships/hyperlink" Target="http://memory.loc.gov/ammem/afctshtml/expdtion.html" TargetMode="External"/><Relationship Id="rId22" Type="http://schemas.openxmlformats.org/officeDocument/2006/relationships/hyperlink" Target="http://memory.loc.gov/cgi-bin/query/r?ammem/toddbib:@field%28DOCID+@lit%28fn001%29%29" TargetMode="External"/><Relationship Id="rId23" Type="http://schemas.openxmlformats.org/officeDocument/2006/relationships/hyperlink" Target="http://memory.loc.gov/cgi-bin/query/S?ammem/toddbib:@field%28DOCID%28st006+4096a1+4097a1+4097b1+4121a3+%29%29" TargetMode="External"/><Relationship Id="rId24" Type="http://schemas.openxmlformats.org/officeDocument/2006/relationships/hyperlink" Target="http://memory.loc.gov/cgi-bin/query/S?ammem/toddbib:@field%28DOCID%28st011+4106b1+5105b1%29%29" TargetMode="External"/><Relationship Id="rId25" Type="http://schemas.openxmlformats.org/officeDocument/2006/relationships/hyperlink" Target="http://memory.loc.gov/cgi-bin/query/S?ammem/toddbib:@field%28DOCID%28st079+st048+4090b1+5115b1%29%29" TargetMode="External"/><Relationship Id="rId26" Type="http://schemas.openxmlformats.org/officeDocument/2006/relationships/hyperlink" Target="http://memory.loc.gov/cgi-bin/query/r?ammem/todd:@field%28DOCID+st029%29" TargetMode="External"/><Relationship Id="rId27" Type="http://schemas.openxmlformats.org/officeDocument/2006/relationships/hyperlink" Target="http://memory.loc.gov/cgi-bin/query/S?ammem/toddbib:@field%28DOCID%284109a1+4109b1%29%29" TargetMode="External"/><Relationship Id="rId28" Type="http://schemas.openxmlformats.org/officeDocument/2006/relationships/hyperlink" Target="http://memory.loc.gov/cgi-bin/query/r?ammem/todd:@field%28DOCID+st089%29" TargetMode="External"/><Relationship Id="rId29" Type="http://schemas.openxmlformats.org/officeDocument/2006/relationships/hyperlink" Target="http://memory.loc.gov/cgi-bin/query/S?ammem/toddbib:@field%28DOCID%28st059+5106a1+4092a1%29%2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cweb.loc.gov/folklife/ethno.html" TargetMode="External"/><Relationship Id="rId30" Type="http://schemas.openxmlformats.org/officeDocument/2006/relationships/hyperlink" Target="http://memory.loc.gov/cgi-bin/query/S?ammem/toddbib:@field%28DOCID%284147b1%29%29" TargetMode="External"/><Relationship Id="rId31" Type="http://schemas.openxmlformats.org/officeDocument/2006/relationships/hyperlink" Target="http://memory.loc.gov/cgi-bin/query/S?ammem/toddbib:@field%28DOCID%284115a3%29%29" TargetMode="External"/><Relationship Id="rId32" Type="http://schemas.openxmlformats.org/officeDocument/2006/relationships/hyperlink" Target="http://memory.loc.gov/cgi-bin/query/S?ammem/toddbib:@field%28DOCID%285100a1%29%29" TargetMode="External"/><Relationship Id="rId9" Type="http://schemas.openxmlformats.org/officeDocument/2006/relationships/hyperlink" Target="http://memory.loc.gov/ammem/afctshtml/sonkinbi.html" TargetMode="External"/><Relationship Id="rId6" Type="http://schemas.openxmlformats.org/officeDocument/2006/relationships/hyperlink" Target="http://memory.loc.gov/cgi-bin/query/S?ammem/toddbib:@field(DOCID(p009))" TargetMode="External"/><Relationship Id="rId7" Type="http://schemas.openxmlformats.org/officeDocument/2006/relationships/image" Target="media/image1.gif"/><Relationship Id="rId8" Type="http://schemas.openxmlformats.org/officeDocument/2006/relationships/hyperlink" Target="http://memory.loc.gov/ammem/afctshtml/toddbio.html" TargetMode="External"/><Relationship Id="rId33" Type="http://schemas.openxmlformats.org/officeDocument/2006/relationships/hyperlink" Target="http://memory.loc.gov/cgi-bin/query/S?ammem/toddbib:@field(DOCID(p020))" TargetMode="External"/><Relationship Id="rId34" Type="http://schemas.openxmlformats.org/officeDocument/2006/relationships/image" Target="media/image3.gif"/><Relationship Id="rId35" Type="http://schemas.openxmlformats.org/officeDocument/2006/relationships/hyperlink" Target="http://memory.loc.gov/cgi-bin/query/S?ammem/toddbib:@field%28DOCID%284146b1%29%29" TargetMode="External"/><Relationship Id="rId36" Type="http://schemas.openxmlformats.org/officeDocument/2006/relationships/hyperlink" Target="http://memory.loc.gov/cgi-bin/query/S?ammem/toddbib:@field%28DOCID%284129b1%29%29" TargetMode="External"/><Relationship Id="rId10" Type="http://schemas.openxmlformats.org/officeDocument/2006/relationships/hyperlink" Target="http://memory.loc.gov/ammem/afctshtml/expdtion.html" TargetMode="External"/><Relationship Id="rId11" Type="http://schemas.openxmlformats.org/officeDocument/2006/relationships/hyperlink" Target="http://memory.loc.gov/cgi-bin/query/r?ammem/cowellbib:@field%28NUMBER+@band%28afccc+pop8-1%29%29" TargetMode="External"/><Relationship Id="rId12" Type="http://schemas.openxmlformats.org/officeDocument/2006/relationships/hyperlink" Target="http://memory.loc.gov/cgi-bin/ampage?collId=afcts&amp;fileName=sb001/sb001.db&amp;recNum=20" TargetMode="External"/><Relationship Id="rId13" Type="http://schemas.openxmlformats.org/officeDocument/2006/relationships/hyperlink" Target="http://lcweb.loc.gov/folklife/ethno.html" TargetMode="External"/><Relationship Id="rId14" Type="http://schemas.openxmlformats.org/officeDocument/2006/relationships/hyperlink" Target="http://memory.loc.gov/ammem/afctshtml/toddbio.html" TargetMode="External"/><Relationship Id="rId15" Type="http://schemas.openxmlformats.org/officeDocument/2006/relationships/hyperlink" Target="http://memory.loc.gov/ammem/afctshtml/sonkinbi.html" TargetMode="External"/><Relationship Id="rId16" Type="http://schemas.openxmlformats.org/officeDocument/2006/relationships/hyperlink" Target="http://memory.loc.gov/ammem/afctshtml/expdtion.html" TargetMode="External"/><Relationship Id="rId17" Type="http://schemas.openxmlformats.org/officeDocument/2006/relationships/hyperlink" Target="http://memory.loc.gov/cgi-bin/query/r?ammem/cowellbib:@field%28NUMBER+@band%28afccc+pop8-1%29%29" TargetMode="External"/><Relationship Id="rId18" Type="http://schemas.openxmlformats.org/officeDocument/2006/relationships/hyperlink" Target="http://memory.loc.gov/cgi-bin/ampage?collId=afcts&amp;fileName=sb001/sb001.db&amp;recNum=20" TargetMode="External"/><Relationship Id="rId19" Type="http://schemas.openxmlformats.org/officeDocument/2006/relationships/hyperlink" Target="http://memory.loc.gov/cgi-bin/query/S?ammem/toddbib:@field(DOCID(p014))" TargetMode="External"/><Relationship Id="rId37" Type="http://schemas.openxmlformats.org/officeDocument/2006/relationships/hyperlink" Target="http://memory.loc.gov/cgi-bin/query/S?ammem/toddbib:@field%28DOCID%285114b1%29%29" TargetMode="External"/><Relationship Id="rId38" Type="http://schemas.openxmlformats.org/officeDocument/2006/relationships/hyperlink" Target="http://memory.loc.gov/cgi-bin/query/S?ammem/toddbib:@field%28DOCID%285114b2%29%29" TargetMode="External"/><Relationship Id="rId39" Type="http://schemas.openxmlformats.org/officeDocument/2006/relationships/hyperlink" Target="http://memory.loc.gov/ammem/afctshtml/newslet.html" TargetMode="External"/><Relationship Id="rId40" Type="http://schemas.openxmlformats.org/officeDocument/2006/relationships/hyperlink" Target="http://memory.loc.gov/cgi-bin/ampage?collId=afcts&amp;fileName=nyt001/nyt001.db&amp;recNum=1" TargetMode="External"/><Relationship Id="rId41" Type="http://schemas.openxmlformats.org/officeDocument/2006/relationships/hyperlink" Target="http://memory.loc.gov/cgi-bin/ampage?collId=afcts&amp;fileName=clip004/clip004.db&amp;recNum=1"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2272</Words>
  <Characters>12954</Characters>
  <Application>Microsoft Macintosh Word</Application>
  <DocSecurity>0</DocSecurity>
  <Lines>107</Lines>
  <Paragraphs>30</Paragraphs>
  <ScaleCrop>false</ScaleCrop>
  <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Monagle</dc:creator>
  <cp:keywords/>
  <dc:description/>
  <cp:lastModifiedBy>Leslie Monagle</cp:lastModifiedBy>
  <cp:revision>1</cp:revision>
  <dcterms:created xsi:type="dcterms:W3CDTF">2013-02-03T17:40:00Z</dcterms:created>
  <dcterms:modified xsi:type="dcterms:W3CDTF">2013-02-03T17:42:00Z</dcterms:modified>
</cp:coreProperties>
</file>